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57" w:after="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</w:t>
      </w:r>
      <w:r>
        <w:rPr>
          <w:rFonts w:ascii="Times New Roman" w:hAnsi="Times New Roman"/>
          <w:b/>
          <w:bCs/>
          <w:sz w:val="32"/>
          <w:szCs w:val="32"/>
        </w:rPr>
        <w:t>егистрация для радиостанций мощностью до 10 ватт включительно, отменена.</w:t>
      </w:r>
    </w:p>
    <w:p>
      <w:pPr>
        <w:pStyle w:val="Normal"/>
        <w:spacing w:before="57" w:after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57" w:after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основании постановления от 13 октября 2011 г. N 837, отменена регистрация радиостанций гражданского диапазона мощностью до 10 ватт, разрешений и любых других документов на право использования портативной или авто радиостанцией не требуется.</w:t>
      </w:r>
    </w:p>
    <w:p>
      <w:pPr>
        <w:pStyle w:val="Normal"/>
        <w:spacing w:before="57" w:after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57" w:after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"Приложение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перечню радиоэлектронных средств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высокочастотных устройств,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подлежащих регистрации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(в редакции Постановления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Правительства Российской Федерации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13 октября 2011 г. N 837)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ИЗЪЯТИЯ ИЗ ПЕРЕЧНЯ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РАДИОЭЛЕКТРОННЫХ СРЕДСТВ И ВЫСОКОЧАСТОТНЫХ УСТРОЙСТВ,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ПОДЛЕЖАЩИХ РЕГИСТРАЦИИ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КонсультантПлюс: примечание.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"разъяснению" Роскомнадзора от 28.04.2012 положение о регистрации абонентских устройств, в том числе мобильных телефонов, мощностью свыше 100 милливатт признано избыточным и в связи с этим не применяется.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Абонентские станции (абонентские устройства), мощность которых не превышает 100 мВт, разрешенные в установленном порядке для использования на территории Российской Федерации в сетях операторов связи, в том числе устройства беспроводного доступа в информационно-телекоммуникационную сеть Интернет.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>
        <w:rPr>
          <w:rFonts w:ascii="Times New Roman" w:hAnsi="Times New Roman"/>
          <w:b/>
          <w:bCs/>
          <w:sz w:val="26"/>
          <w:szCs w:val="26"/>
        </w:rPr>
        <w:t>Станции сухопутной подвижной связи личного пользования диапазона 27 МГц (СиБи-диапазона) с допустимой мощностью излучения передатчика не более 10 Вт.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Абонентские станции фиксированного беспроводного доступа технологии CDMA (протокол IS-95) в полосах радиочастот 828 - 837 МГц и 873 - 882 МГц.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Бытовые СВЧ-печи и другие высокочастотные устройства, предназначенные для обработки пищевых продуктов и приготовления пищи, медицинские ингаляторы и устройства зубопротезирования, медицинские ультразвуковые исследовательские и лечебные устройства, другие медицинские высокочастотные устройства для профилактики и лечения заболеваний, а также высокочастотные устройства любого применения с мощностью на нагрузочном устройстве менее 5 Вт включительно без открытого излучения.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Радиоэлектронные средства для обработки штрихкодовых этикеток и передачи информации, полученной с этих этикеток, в полосе радиочастот 433,05 - 434,79 (433,92 +/- 0,2%) МГц с допустимой мощностью излучения передатчика не более 10 мВт.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Lucida San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Arial Unicode MS" w:cs="Lucida Sans"/>
      <w:color w:val="auto"/>
      <w:sz w:val="24"/>
      <w:szCs w:val="24"/>
      <w:lang w:val="ru-RU" w:eastAsia="zh-CN" w:bidi="hi-IN"/>
    </w:rPr>
  </w:style>
  <w:style w:type="character" w:styleId="Q">
    <w:name w:val="q"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Arial Unicode MS" w:cs="Lucida 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LibreOffice/5.1.4.2$Linux_X86_64 LibreOffice_project/10m0$Build-2</Application>
  <Pages>1</Pages>
  <Words>268</Words>
  <Characters>1891</Characters>
  <CharactersWithSpaces>2143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2016-07-02T23:32:49Z</dcterms:created>
  <dc:creator/>
  <dc:description/>
  <dc:language>ru-RU</dc:language>
  <cp:lastModifiedBy/>
  <cp:lastPrinted>2016-07-03T12:12:17Z</cp:lastPrinted>
  <dcterms:modified xsi:type="dcterms:W3CDTF">2016-07-03T12:19:38Z</dcterms:modified>
  <cp:revision>3</cp:revision>
  <dc:subject/>
  <dc:title/>
</cp:coreProperties>
</file>